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868E3DA">
      <w:pPr>
        <w:autoSpaceDE w:val="0"/>
        <w:autoSpaceDN w:val="0"/>
        <w:adjustRightInd w:val="0"/>
        <w:jc w:val="left"/>
        <w:rPr>
          <w:b/>
          <w:szCs w:val="21"/>
        </w:rPr>
        <w:sectPr>
          <w:headerReference r:id="rId3" w:type="default"/>
          <w:footerReference r:id="rId4" w:type="default"/>
          <w:type w:val="continuous"/>
          <w:pgSz w:w="11906" w:h="16838"/>
          <w:pgMar w:top="1440" w:right="1286" w:bottom="1440" w:left="1800" w:header="851" w:footer="992" w:gutter="0"/>
          <w:cols w:space="425" w:num="2"/>
          <w:docGrid w:type="lines" w:linePitch="312" w:charSpace="0"/>
        </w:sectPr>
      </w:pPr>
      <w:bookmarkStart w:id="0" w:name="_GoBack"/>
      <w:bookmarkEnd w:id="0"/>
    </w:p>
    <w:p w14:paraId="4460C7EA">
      <w:pPr>
        <w:autoSpaceDE w:val="0"/>
        <w:autoSpaceDN w:val="0"/>
        <w:adjustRightInd w:val="0"/>
        <w:jc w:val="left"/>
        <w:rPr>
          <w:rFonts w:hint="eastAsia"/>
          <w:b/>
          <w:sz w:val="28"/>
          <w:szCs w:val="28"/>
        </w:rPr>
      </w:pPr>
      <w:r>
        <w:rPr>
          <w:rFonts w:hint="eastAsia"/>
          <w:b/>
          <w:sz w:val="28"/>
          <w:szCs w:val="28"/>
        </w:rPr>
        <w:t xml:space="preserve">GNAQ </w:t>
      </w:r>
      <w:r>
        <w:rPr>
          <w:rFonts w:hint="eastAsia"/>
          <w:b/>
          <w:sz w:val="28"/>
          <w:szCs w:val="28"/>
          <w:lang/>
        </w:rPr>
        <w:t>(</w:t>
      </w:r>
      <w:r>
        <w:rPr>
          <w:rFonts w:hint="eastAsia"/>
          <w:b/>
          <w:sz w:val="28"/>
          <w:szCs w:val="28"/>
        </w:rPr>
        <w:t>Q209R</w:t>
      </w:r>
      <w:r>
        <w:rPr>
          <w:rFonts w:hint="eastAsia"/>
          <w:b/>
          <w:sz w:val="28"/>
          <w:szCs w:val="28"/>
          <w:lang/>
        </w:rPr>
        <w:t>)</w:t>
      </w:r>
    </w:p>
    <w:p w14:paraId="6C59619D">
      <w:pPr>
        <w:autoSpaceDE w:val="0"/>
        <w:autoSpaceDN w:val="0"/>
        <w:adjustRightInd w:val="0"/>
        <w:jc w:val="left"/>
        <w:rPr>
          <w:rFonts w:hint="eastAsia"/>
          <w:b/>
          <w:szCs w:val="21"/>
        </w:rPr>
      </w:pPr>
      <w:r>
        <w:rPr>
          <w:rFonts w:hint="eastAsia"/>
          <w:b/>
          <w:szCs w:val="21"/>
        </w:rPr>
        <w:t xml:space="preserve">Catalog Number: </w:t>
      </w:r>
      <w:r>
        <w:rPr>
          <w:rFonts w:hint="eastAsia"/>
          <w:b/>
          <w:szCs w:val="21"/>
          <w:lang w:val="en-US" w:eastAsia="zh-CN"/>
        </w:rPr>
        <w:t>CR-M</w:t>
      </w:r>
      <w:r>
        <w:rPr>
          <w:rFonts w:hint="eastAsia"/>
          <w:szCs w:val="21"/>
        </w:rPr>
        <w:t>26330</w:t>
      </w:r>
    </w:p>
    <w:p w14:paraId="33EB3CFB">
      <w:pPr>
        <w:autoSpaceDE w:val="0"/>
        <w:autoSpaceDN w:val="0"/>
        <w:adjustRightInd w:val="0"/>
        <w:jc w:val="left"/>
        <w:rPr>
          <w:rFonts w:hint="eastAsia"/>
          <w:szCs w:val="21"/>
        </w:rPr>
      </w:pPr>
      <w:r>
        <w:rPr>
          <w:b/>
          <w:szCs w:val="21"/>
        </w:rPr>
        <w:t xml:space="preserve">Gene Symbol: </w:t>
      </w:r>
      <w:r>
        <w:rPr>
          <w:rFonts w:hint="eastAsia"/>
          <w:szCs w:val="21"/>
        </w:rPr>
        <w:t>GNAQ</w:t>
      </w:r>
      <w:r>
        <w:rPr>
          <w:szCs w:val="21"/>
        </w:rPr>
        <w:t xml:space="preserve">, </w:t>
      </w:r>
      <w:r>
        <w:rPr>
          <w:rFonts w:hint="eastAsia"/>
          <w:szCs w:val="21"/>
        </w:rPr>
        <w:t>CMC1, G-ALPHA-q, GAQ, SWS</w:t>
      </w:r>
    </w:p>
    <w:p w14:paraId="3862BB92">
      <w:pPr>
        <w:autoSpaceDE w:val="0"/>
        <w:autoSpaceDN w:val="0"/>
        <w:adjustRightInd w:val="0"/>
        <w:jc w:val="left"/>
        <w:rPr>
          <w:b/>
          <w:szCs w:val="21"/>
        </w:rPr>
      </w:pPr>
      <w:r>
        <w:rPr>
          <w:b/>
          <w:szCs w:val="21"/>
        </w:rPr>
        <w:t xml:space="preserve">Description: </w:t>
      </w:r>
      <w:r>
        <w:rPr>
          <w:szCs w:val="21"/>
        </w:rPr>
        <w:t>Anti-</w:t>
      </w:r>
      <w:r>
        <w:rPr>
          <w:rFonts w:hint="eastAsia"/>
          <w:szCs w:val="21"/>
        </w:rPr>
        <w:t>GNAQ (Q209R) Mouse</w:t>
      </w:r>
      <w:r>
        <w:rPr>
          <w:rFonts w:hint="eastAsia"/>
          <w:szCs w:val="21"/>
          <w:lang/>
        </w:rPr>
        <w:t xml:space="preserve"> </w:t>
      </w:r>
      <w:r>
        <w:rPr>
          <w:rFonts w:hint="eastAsia"/>
          <w:szCs w:val="21"/>
        </w:rPr>
        <w:t>Monoclonal</w:t>
      </w:r>
      <w:r>
        <w:rPr>
          <w:szCs w:val="21"/>
          <w:lang/>
        </w:rPr>
        <w:t xml:space="preserve"> Antibody</w:t>
      </w:r>
    </w:p>
    <w:p w14:paraId="1CCCDAF2">
      <w:pPr>
        <w:autoSpaceDE w:val="0"/>
        <w:autoSpaceDN w:val="0"/>
        <w:adjustRightInd w:val="0"/>
        <w:jc w:val="left"/>
        <w:rPr>
          <w:b/>
          <w:szCs w:val="21"/>
        </w:rPr>
        <w:sectPr>
          <w:headerReference r:id="rId5" w:type="default"/>
          <w:footerReference r:id="rId6" w:type="default"/>
          <w:type w:val="continuous"/>
          <w:pgSz w:w="11906" w:h="16838"/>
          <w:pgMar w:top="1440" w:right="1800" w:bottom="1440" w:left="1800" w:header="851" w:footer="992" w:gutter="0"/>
          <w:pgNumType w:start="1"/>
          <w:cols w:space="720" w:num="1"/>
          <w:docGrid w:type="lines" w:linePitch="312" w:charSpace="0"/>
        </w:sectPr>
      </w:pPr>
      <w:r>
        <w:rPr>
          <w:b/>
          <w:szCs w:val="21"/>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97790</wp:posOffset>
                </wp:positionV>
                <wp:extent cx="6057900" cy="0"/>
                <wp:effectExtent l="0" t="4445" r="0" b="5080"/>
                <wp:wrapNone/>
                <wp:docPr id="1" name="直线 2"/>
                <wp:cNvGraphicFramePr/>
                <a:graphic xmlns:a="http://schemas.openxmlformats.org/drawingml/2006/main">
                  <a:graphicData uri="http://schemas.microsoft.com/office/word/2010/wordprocessingShape">
                    <wps:wsp>
                      <wps:cNvSpPr/>
                      <wps:spPr>
                        <a:xfrm>
                          <a:off x="0" y="0"/>
                          <a:ext cx="60579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7.7pt;height:0pt;width:477pt;z-index:251659264;mso-width-relative:page;mso-height-relative:page;" filled="f" stroked="t" coordsize="21600,21600" o:gfxdata="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uV8w71gAA&#10;AAkBAAAPAAAAAAAAAAEAIAAAACIAAABkcnMvZG93bnJldi54bWxQSwECFAAUAAAACACHTuJAS5Lp&#10;VOcBAADbAwAADgAAAAAAAAABACAAAAAlAQAAZHJzL2Uyb0RvYy54bWxQSwUGAAAAAAYABgBZAQAA&#10;fgUAAAAA&#10;">
                <v:fill on="f" focussize="0,0"/>
                <v:stroke color="#000000" joinstyle="round"/>
                <v:imagedata o:title=""/>
                <o:lock v:ext="edit" aspectratio="f"/>
              </v:line>
            </w:pict>
          </mc:Fallback>
        </mc:AlternateContent>
      </w:r>
    </w:p>
    <w:p w14:paraId="5B33545B">
      <w:pPr>
        <w:autoSpaceDE w:val="0"/>
        <w:autoSpaceDN w:val="0"/>
        <w:adjustRightInd w:val="0"/>
        <w:jc w:val="left"/>
        <w:rPr>
          <w:rFonts w:hint="eastAsia"/>
          <w:b/>
          <w:szCs w:val="21"/>
        </w:rPr>
      </w:pPr>
    </w:p>
    <w:p w14:paraId="31B46D19">
      <w:pPr>
        <w:autoSpaceDE w:val="0"/>
        <w:autoSpaceDN w:val="0"/>
        <w:adjustRightInd w:val="0"/>
        <w:jc w:val="left"/>
        <w:rPr>
          <w:rFonts w:hint="eastAsia"/>
          <w:szCs w:val="21"/>
        </w:rPr>
      </w:pPr>
      <w:r>
        <w:rPr>
          <w:b/>
          <w:szCs w:val="21"/>
        </w:rPr>
        <w:t>Background:</w:t>
      </w:r>
      <w:r>
        <w:t xml:space="preserve"> </w:t>
      </w:r>
      <w:r>
        <w:rPr>
          <w:rFonts w:hint="eastAsia"/>
        </w:rPr>
        <w:t xml:space="preserve">GNAQ is a protein that in humans encoded by the GNAQ gene. The GNAQ protein, an alpha subunit in the Gq class, couples a seven-transmembrane domain receptor to activation of </w:t>
      </w:r>
      <w:r>
        <w:t>phospholipase</w:t>
      </w:r>
      <w:r>
        <w:rPr>
          <w:rFonts w:hint="eastAsia"/>
        </w:rPr>
        <w:t xml:space="preserve"> C-beta. Mutations at this locus have been associated with problems in platelet activation and aggregation.</w:t>
      </w:r>
      <w:r>
        <w:rPr>
          <w:rFonts w:ascii="Arial" w:hAnsi="Arial" w:cs="Arial"/>
          <w:vanish/>
          <w:sz w:val="20"/>
          <w:szCs w:val="20"/>
          <w:lang w:val="en"/>
        </w:rPr>
        <w:t xml:space="preserve">is part of a complex of proteins that form adherens junctions, which are important for the establishment and maintenance of epithelial cell layers by regulating cell growth and adhesion between adjacent cells is part of a complex of proteins that form adherens junctions, which are important for the establishment and maintenance of epithelial cell layers by regulating cell growth and adhesion between adjacent cells </w:t>
      </w:r>
    </w:p>
    <w:p w14:paraId="194C2D9F">
      <w:pPr>
        <w:autoSpaceDE w:val="0"/>
        <w:autoSpaceDN w:val="0"/>
        <w:adjustRightInd w:val="0"/>
        <w:jc w:val="left"/>
        <w:rPr>
          <w:rFonts w:hint="eastAsia"/>
          <w:szCs w:val="21"/>
        </w:rPr>
      </w:pPr>
      <w:r>
        <w:rPr>
          <w:b/>
          <w:szCs w:val="21"/>
        </w:rPr>
        <w:t>I</w:t>
      </w:r>
      <w:r>
        <w:rPr>
          <w:rFonts w:hint="eastAsia"/>
          <w:b/>
          <w:szCs w:val="21"/>
        </w:rPr>
        <w:t>mmunogen:</w:t>
      </w:r>
      <w:r>
        <w:rPr>
          <w:rFonts w:hint="eastAsia"/>
          <w:szCs w:val="21"/>
        </w:rPr>
        <w:t xml:space="preserve"> </w:t>
      </w:r>
      <w:r>
        <w:rPr>
          <w:color w:val="000000"/>
          <w:szCs w:val="21"/>
          <w:lang/>
        </w:rPr>
        <w:t xml:space="preserve">A </w:t>
      </w:r>
      <w:r>
        <w:rPr>
          <w:szCs w:val="21"/>
          <w:lang/>
        </w:rPr>
        <w:t>synthetic</w:t>
      </w:r>
      <w:r>
        <w:rPr>
          <w:color w:val="000000"/>
          <w:szCs w:val="21"/>
          <w:lang/>
        </w:rPr>
        <w:t xml:space="preserve"> peptide</w:t>
      </w:r>
      <w:r>
        <w:rPr>
          <w:rFonts w:hint="eastAsia"/>
          <w:color w:val="000000"/>
          <w:szCs w:val="21"/>
        </w:rPr>
        <w:t xml:space="preserve"> from</w:t>
      </w:r>
      <w:r>
        <w:rPr>
          <w:color w:val="000000"/>
          <w:szCs w:val="21"/>
          <w:lang/>
        </w:rPr>
        <w:t xml:space="preserve"> the </w:t>
      </w:r>
      <w:r>
        <w:rPr>
          <w:rFonts w:hint="eastAsia"/>
          <w:color w:val="000000"/>
          <w:szCs w:val="21"/>
        </w:rPr>
        <w:t>internal region</w:t>
      </w:r>
      <w:r>
        <w:rPr>
          <w:color w:val="000000"/>
          <w:szCs w:val="21"/>
          <w:lang/>
        </w:rPr>
        <w:t xml:space="preserve"> of</w:t>
      </w:r>
      <w:r>
        <w:rPr>
          <w:rFonts w:hint="eastAsia"/>
          <w:color w:val="000000"/>
          <w:szCs w:val="21"/>
          <w:lang/>
        </w:rPr>
        <w:t xml:space="preserve"> </w:t>
      </w:r>
      <w:r>
        <w:rPr>
          <w:rFonts w:hint="eastAsia"/>
          <w:color w:val="000000"/>
          <w:szCs w:val="21"/>
        </w:rPr>
        <w:t>GNAQ which</w:t>
      </w:r>
      <w:r>
        <w:rPr>
          <w:color w:val="000000"/>
          <w:szCs w:val="21"/>
          <w:lang/>
        </w:rPr>
        <w:t xml:space="preserve"> </w:t>
      </w:r>
      <w:r>
        <w:rPr>
          <w:rFonts w:hint="eastAsia"/>
          <w:color w:val="000000"/>
          <w:szCs w:val="21"/>
        </w:rPr>
        <w:t>includes</w:t>
      </w:r>
      <w:r>
        <w:rPr>
          <w:color w:val="000000"/>
          <w:szCs w:val="21"/>
          <w:lang/>
        </w:rPr>
        <w:t xml:space="preserve"> the </w:t>
      </w:r>
      <w:r>
        <w:rPr>
          <w:rFonts w:hint="eastAsia"/>
          <w:color w:val="000000"/>
          <w:szCs w:val="21"/>
        </w:rPr>
        <w:t>mutation of Q209R</w:t>
      </w:r>
      <w:r>
        <w:rPr>
          <w:rFonts w:hint="eastAsia"/>
          <w:color w:val="000000"/>
          <w:szCs w:val="21"/>
          <w:lang/>
        </w:rPr>
        <w:t xml:space="preserve">, </w:t>
      </w:r>
      <w:r>
        <w:rPr>
          <w:color w:val="000000"/>
          <w:szCs w:val="21"/>
          <w:lang/>
        </w:rPr>
        <w:t>human origin</w:t>
      </w:r>
      <w:r>
        <w:rPr>
          <w:rFonts w:hint="eastAsia"/>
          <w:color w:val="000000"/>
          <w:szCs w:val="21"/>
          <w:lang/>
        </w:rPr>
        <w:t>.</w:t>
      </w:r>
      <w:r>
        <w:rPr>
          <w:rFonts w:hint="eastAsia"/>
          <w:b/>
          <w:szCs w:val="21"/>
        </w:rPr>
        <w:t xml:space="preserve"> </w:t>
      </w:r>
    </w:p>
    <w:p w14:paraId="37B24E3E">
      <w:pPr>
        <w:autoSpaceDE w:val="0"/>
        <w:autoSpaceDN w:val="0"/>
        <w:adjustRightInd w:val="0"/>
        <w:jc w:val="left"/>
        <w:rPr>
          <w:rFonts w:hint="eastAsia"/>
          <w:szCs w:val="21"/>
        </w:rPr>
      </w:pPr>
      <w:r>
        <w:rPr>
          <w:b/>
          <w:szCs w:val="21"/>
        </w:rPr>
        <w:t>Tested applications</w:t>
      </w:r>
      <w:r>
        <w:rPr>
          <w:rFonts w:hint="eastAsia"/>
          <w:b/>
          <w:szCs w:val="21"/>
        </w:rPr>
        <w:t xml:space="preserve">: </w:t>
      </w:r>
      <w:r>
        <w:rPr>
          <w:szCs w:val="21"/>
          <w:lang/>
        </w:rPr>
        <w:t>ELISA, WB, IHC</w:t>
      </w:r>
    </w:p>
    <w:p w14:paraId="58201818">
      <w:pPr>
        <w:autoSpaceDE w:val="0"/>
        <w:autoSpaceDN w:val="0"/>
        <w:adjustRightInd w:val="0"/>
        <w:jc w:val="left"/>
        <w:rPr>
          <w:rFonts w:hint="eastAsia"/>
          <w:szCs w:val="21"/>
        </w:rPr>
      </w:pPr>
      <w:r>
        <w:rPr>
          <w:b/>
          <w:szCs w:val="21"/>
        </w:rPr>
        <w:t>Recommended dilutions</w:t>
      </w:r>
      <w:r>
        <w:rPr>
          <w:rFonts w:hint="eastAsia"/>
          <w:b/>
          <w:szCs w:val="21"/>
        </w:rPr>
        <w:t>:</w:t>
      </w:r>
    </w:p>
    <w:p w14:paraId="0D654457">
      <w:pPr>
        <w:autoSpaceDE w:val="0"/>
        <w:autoSpaceDN w:val="0"/>
        <w:adjustRightInd w:val="0"/>
        <w:jc w:val="left"/>
        <w:rPr>
          <w:szCs w:val="21"/>
          <w:lang/>
        </w:rPr>
      </w:pPr>
      <w:r>
        <w:rPr>
          <w:szCs w:val="21"/>
          <w:lang/>
        </w:rPr>
        <w:t>ELISA:  1:1000-1:</w:t>
      </w:r>
      <w:r>
        <w:rPr>
          <w:rFonts w:hint="eastAsia"/>
          <w:szCs w:val="21"/>
          <w:lang/>
        </w:rPr>
        <w:t>2</w:t>
      </w:r>
      <w:r>
        <w:rPr>
          <w:szCs w:val="21"/>
          <w:lang/>
        </w:rPr>
        <w:t>000</w:t>
      </w:r>
    </w:p>
    <w:p w14:paraId="4826C51A">
      <w:pPr>
        <w:autoSpaceDE w:val="0"/>
        <w:autoSpaceDN w:val="0"/>
        <w:adjustRightInd w:val="0"/>
        <w:jc w:val="left"/>
        <w:rPr>
          <w:szCs w:val="21"/>
          <w:lang/>
        </w:rPr>
      </w:pPr>
      <w:r>
        <w:rPr>
          <w:szCs w:val="21"/>
          <w:lang/>
        </w:rPr>
        <w:t xml:space="preserve">WB:  </w:t>
      </w:r>
      <w:r>
        <w:rPr>
          <w:rFonts w:hint="eastAsia"/>
          <w:szCs w:val="21"/>
          <w:lang/>
        </w:rPr>
        <w:t xml:space="preserve">   </w:t>
      </w:r>
      <w:r>
        <w:rPr>
          <w:szCs w:val="21"/>
          <w:lang/>
        </w:rPr>
        <w:t>1:</w:t>
      </w:r>
      <w:r>
        <w:rPr>
          <w:rFonts w:hint="eastAsia"/>
          <w:szCs w:val="21"/>
          <w:lang/>
        </w:rPr>
        <w:t>5</w:t>
      </w:r>
      <w:r>
        <w:rPr>
          <w:szCs w:val="21"/>
          <w:lang/>
        </w:rPr>
        <w:t>00-1:</w:t>
      </w:r>
      <w:r>
        <w:rPr>
          <w:rFonts w:hint="eastAsia"/>
          <w:szCs w:val="21"/>
        </w:rPr>
        <w:t>1</w:t>
      </w:r>
      <w:r>
        <w:rPr>
          <w:szCs w:val="21"/>
          <w:lang/>
        </w:rPr>
        <w:t>000</w:t>
      </w:r>
    </w:p>
    <w:p w14:paraId="032852BA">
      <w:pPr>
        <w:autoSpaceDE w:val="0"/>
        <w:autoSpaceDN w:val="0"/>
        <w:adjustRightInd w:val="0"/>
        <w:jc w:val="left"/>
        <w:rPr>
          <w:rFonts w:hint="eastAsia"/>
          <w:szCs w:val="21"/>
          <w:lang/>
        </w:rPr>
      </w:pPr>
      <w:r>
        <w:rPr>
          <w:szCs w:val="21"/>
          <w:lang/>
        </w:rPr>
        <w:t xml:space="preserve">IHC: </w:t>
      </w:r>
      <w:r>
        <w:rPr>
          <w:rFonts w:hint="eastAsia"/>
          <w:szCs w:val="21"/>
          <w:lang/>
        </w:rPr>
        <w:t xml:space="preserve">   </w:t>
      </w:r>
      <w:r>
        <w:rPr>
          <w:szCs w:val="21"/>
          <w:lang/>
        </w:rPr>
        <w:t xml:space="preserve"> 1:</w:t>
      </w:r>
      <w:r>
        <w:rPr>
          <w:rFonts w:hint="eastAsia"/>
          <w:szCs w:val="21"/>
          <w:lang/>
        </w:rPr>
        <w:t>5</w:t>
      </w:r>
      <w:r>
        <w:rPr>
          <w:szCs w:val="21"/>
          <w:lang/>
        </w:rPr>
        <w:t>0</w:t>
      </w:r>
      <w:r>
        <w:rPr>
          <w:rFonts w:hint="eastAsia"/>
          <w:szCs w:val="21"/>
          <w:lang/>
        </w:rPr>
        <w:t>-1:100</w:t>
      </w:r>
    </w:p>
    <w:p w14:paraId="1EC91CEF">
      <w:pPr>
        <w:autoSpaceDE w:val="0"/>
        <w:autoSpaceDN w:val="0"/>
        <w:adjustRightInd w:val="0"/>
        <w:jc w:val="left"/>
        <w:rPr>
          <w:szCs w:val="21"/>
        </w:rPr>
      </w:pPr>
      <w:r>
        <w:rPr>
          <w:b/>
          <w:szCs w:val="21"/>
        </w:rPr>
        <w:t>Concentration:</w:t>
      </w:r>
      <w:r>
        <w:rPr>
          <w:szCs w:val="21"/>
        </w:rPr>
        <w:t xml:space="preserve"> </w:t>
      </w:r>
      <w:r>
        <w:rPr>
          <w:rFonts w:hint="eastAsia"/>
          <w:szCs w:val="21"/>
        </w:rPr>
        <w:t>1</w:t>
      </w:r>
      <w:r>
        <w:rPr>
          <w:szCs w:val="21"/>
          <w:lang/>
        </w:rPr>
        <w:t xml:space="preserve"> mg/ml</w:t>
      </w:r>
    </w:p>
    <w:p w14:paraId="2FC90538">
      <w:pPr>
        <w:autoSpaceDE w:val="0"/>
        <w:autoSpaceDN w:val="0"/>
        <w:adjustRightInd w:val="0"/>
        <w:jc w:val="left"/>
        <w:rPr>
          <w:rFonts w:hint="eastAsia"/>
          <w:szCs w:val="21"/>
        </w:rPr>
      </w:pPr>
      <w:r>
        <w:rPr>
          <w:b/>
          <w:szCs w:val="21"/>
        </w:rPr>
        <w:t>Host:</w:t>
      </w:r>
      <w:r>
        <w:rPr>
          <w:rFonts w:hint="eastAsia"/>
          <w:b/>
          <w:szCs w:val="21"/>
        </w:rPr>
        <w:t xml:space="preserve"> </w:t>
      </w:r>
      <w:r>
        <w:rPr>
          <w:rFonts w:hint="eastAsia"/>
          <w:szCs w:val="21"/>
        </w:rPr>
        <w:t>Mouse</w:t>
      </w:r>
    </w:p>
    <w:p w14:paraId="1812F3D5">
      <w:pPr>
        <w:autoSpaceDE w:val="0"/>
        <w:autoSpaceDN w:val="0"/>
        <w:adjustRightInd w:val="0"/>
        <w:jc w:val="left"/>
        <w:rPr>
          <w:rFonts w:hint="eastAsia"/>
          <w:szCs w:val="21"/>
        </w:rPr>
      </w:pPr>
      <w:r>
        <w:rPr>
          <w:b/>
          <w:szCs w:val="21"/>
        </w:rPr>
        <w:t>Clonality</w:t>
      </w:r>
      <w:r>
        <w:rPr>
          <w:rFonts w:hint="eastAsia"/>
          <w:b/>
          <w:szCs w:val="21"/>
        </w:rPr>
        <w:t>:</w:t>
      </w:r>
      <w:r>
        <w:rPr>
          <w:rFonts w:hint="eastAsia"/>
          <w:szCs w:val="21"/>
        </w:rPr>
        <w:t xml:space="preserve"> Monoclonal</w:t>
      </w:r>
    </w:p>
    <w:p w14:paraId="1ADB0A77">
      <w:pPr>
        <w:autoSpaceDE w:val="0"/>
        <w:autoSpaceDN w:val="0"/>
        <w:adjustRightInd w:val="0"/>
        <w:jc w:val="left"/>
        <w:rPr>
          <w:rFonts w:hint="eastAsia"/>
          <w:szCs w:val="21"/>
        </w:rPr>
      </w:pPr>
      <w:r>
        <w:rPr>
          <w:b/>
          <w:szCs w:val="21"/>
        </w:rPr>
        <w:t>Purity</w:t>
      </w:r>
      <w:r>
        <w:rPr>
          <w:rFonts w:hint="eastAsia"/>
          <w:b/>
          <w:szCs w:val="21"/>
        </w:rPr>
        <w:t xml:space="preserve">: </w:t>
      </w:r>
      <w:r>
        <w:rPr>
          <w:szCs w:val="21"/>
          <w:lang/>
        </w:rPr>
        <w:t xml:space="preserve">Purified from </w:t>
      </w:r>
      <w:r>
        <w:rPr>
          <w:rFonts w:hint="eastAsia"/>
          <w:szCs w:val="21"/>
        </w:rPr>
        <w:t>ascites</w:t>
      </w:r>
    </w:p>
    <w:p w14:paraId="03F424BC">
      <w:pPr>
        <w:autoSpaceDE w:val="0"/>
        <w:autoSpaceDN w:val="0"/>
        <w:adjustRightInd w:val="0"/>
        <w:jc w:val="left"/>
        <w:rPr>
          <w:rFonts w:hint="eastAsia"/>
          <w:szCs w:val="21"/>
        </w:rPr>
      </w:pPr>
      <w:r>
        <w:rPr>
          <w:b/>
          <w:szCs w:val="21"/>
        </w:rPr>
        <w:t>Format:</w:t>
      </w:r>
      <w:r>
        <w:rPr>
          <w:rFonts w:hint="eastAsia"/>
          <w:szCs w:val="21"/>
        </w:rPr>
        <w:t xml:space="preserve"> </w:t>
      </w:r>
      <w:r>
        <w:rPr>
          <w:szCs w:val="21"/>
          <w:lang/>
        </w:rPr>
        <w:t>Liquid</w:t>
      </w:r>
    </w:p>
    <w:p w14:paraId="32E6B7E7">
      <w:pPr>
        <w:autoSpaceDE w:val="0"/>
        <w:autoSpaceDN w:val="0"/>
        <w:adjustRightInd w:val="0"/>
        <w:jc w:val="left"/>
        <w:rPr>
          <w:rFonts w:hint="eastAsia"/>
          <w:szCs w:val="21"/>
        </w:rPr>
      </w:pPr>
      <w:r>
        <w:rPr>
          <w:b/>
          <w:szCs w:val="21"/>
        </w:rPr>
        <w:t>Storage buffer</w:t>
      </w:r>
      <w:r>
        <w:rPr>
          <w:rFonts w:hint="eastAsia"/>
          <w:b/>
          <w:szCs w:val="21"/>
        </w:rPr>
        <w:t xml:space="preserve">: </w:t>
      </w:r>
    </w:p>
    <w:p w14:paraId="00A155B5">
      <w:pPr>
        <w:autoSpaceDE w:val="0"/>
        <w:autoSpaceDN w:val="0"/>
        <w:adjustRightInd w:val="0"/>
        <w:jc w:val="left"/>
        <w:rPr>
          <w:rFonts w:hint="eastAsia"/>
          <w:szCs w:val="21"/>
        </w:rPr>
      </w:pPr>
      <w:r>
        <w:rPr>
          <w:szCs w:val="21"/>
        </w:rPr>
        <w:t xml:space="preserve">Preservative: </w:t>
      </w:r>
      <w:r>
        <w:rPr>
          <w:szCs w:val="21"/>
          <w:lang/>
        </w:rPr>
        <w:t>no</w:t>
      </w:r>
    </w:p>
    <w:p w14:paraId="7816B5A6">
      <w:pPr>
        <w:autoSpaceDE w:val="0"/>
        <w:autoSpaceDN w:val="0"/>
        <w:adjustRightInd w:val="0"/>
        <w:jc w:val="left"/>
        <w:rPr>
          <w:rFonts w:hint="eastAsia"/>
          <w:szCs w:val="21"/>
        </w:rPr>
      </w:pPr>
      <w:r>
        <w:rPr>
          <w:szCs w:val="21"/>
        </w:rPr>
        <w:t xml:space="preserve">Constituents: </w:t>
      </w:r>
      <w:r>
        <w:rPr>
          <w:szCs w:val="21"/>
          <w:lang/>
        </w:rPr>
        <w:t>PBS (without Mg</w:t>
      </w:r>
      <w:r>
        <w:rPr>
          <w:szCs w:val="21"/>
          <w:vertAlign w:val="superscript"/>
          <w:lang/>
        </w:rPr>
        <w:t>2+</w:t>
      </w:r>
      <w:r>
        <w:rPr>
          <w:szCs w:val="21"/>
          <w:lang/>
        </w:rPr>
        <w:t xml:space="preserve"> and Ca</w:t>
      </w:r>
      <w:r>
        <w:rPr>
          <w:szCs w:val="21"/>
          <w:vertAlign w:val="superscript"/>
          <w:lang/>
        </w:rPr>
        <w:t>2+</w:t>
      </w:r>
      <w:r>
        <w:rPr>
          <w:szCs w:val="21"/>
          <w:lang/>
        </w:rPr>
        <w:t>), pH 7.4, 150 mM NaCl, 50% glycerol</w:t>
      </w:r>
    </w:p>
    <w:p w14:paraId="4BC878EE">
      <w:pPr>
        <w:autoSpaceDE w:val="0"/>
        <w:autoSpaceDN w:val="0"/>
        <w:adjustRightInd w:val="0"/>
        <w:jc w:val="left"/>
        <w:rPr>
          <w:rFonts w:hint="eastAsia"/>
          <w:b/>
          <w:szCs w:val="21"/>
        </w:rPr>
      </w:pPr>
      <w:r>
        <w:rPr>
          <w:b/>
          <w:szCs w:val="21"/>
        </w:rPr>
        <w:t xml:space="preserve">Species Reactivity: </w:t>
      </w:r>
      <w:r>
        <w:rPr>
          <w:szCs w:val="21"/>
        </w:rPr>
        <w:t xml:space="preserve">Recognizes </w:t>
      </w:r>
      <w:r>
        <w:rPr>
          <w:rFonts w:hint="eastAsia"/>
          <w:szCs w:val="21"/>
        </w:rPr>
        <w:t xml:space="preserve">Q209R </w:t>
      </w:r>
      <w:r>
        <w:rPr>
          <w:szCs w:val="21"/>
        </w:rPr>
        <w:t xml:space="preserve">mutant, but not wild-type </w:t>
      </w:r>
      <w:r>
        <w:rPr>
          <w:rFonts w:hint="eastAsia"/>
          <w:szCs w:val="21"/>
        </w:rPr>
        <w:t>GNAQ</w:t>
      </w:r>
      <w:r>
        <w:rPr>
          <w:szCs w:val="21"/>
        </w:rPr>
        <w:t xml:space="preserve"> of vertebrates.</w:t>
      </w:r>
    </w:p>
    <w:p w14:paraId="5DFDDE09">
      <w:pPr>
        <w:autoSpaceDE w:val="0"/>
        <w:autoSpaceDN w:val="0"/>
        <w:adjustRightInd w:val="0"/>
        <w:jc w:val="left"/>
        <w:rPr>
          <w:rFonts w:hint="eastAsia"/>
          <w:szCs w:val="21"/>
        </w:rPr>
      </w:pPr>
      <w:r>
        <w:rPr>
          <w:b/>
          <w:szCs w:val="21"/>
        </w:rPr>
        <w:t>Storage Conditions:</w:t>
      </w:r>
      <w:r>
        <w:rPr>
          <w:rFonts w:ascii="Arial" w:hAnsi="Arial" w:cs="Arial"/>
        </w:rPr>
        <w:t xml:space="preserve"> </w:t>
      </w:r>
      <w:r>
        <w:rPr>
          <w:rFonts w:hint="eastAsia"/>
          <w:szCs w:val="21"/>
        </w:rPr>
        <w:t>S</w:t>
      </w:r>
      <w:r>
        <w:rPr>
          <w:szCs w:val="21"/>
        </w:rPr>
        <w:t>tore at -20°C. Avoid</w:t>
      </w:r>
      <w:r>
        <w:rPr>
          <w:rFonts w:hint="eastAsia"/>
          <w:szCs w:val="21"/>
        </w:rPr>
        <w:t xml:space="preserve"> </w:t>
      </w:r>
      <w:r>
        <w:rPr>
          <w:szCs w:val="21"/>
        </w:rPr>
        <w:t>freeze / thaw cycles</w:t>
      </w:r>
      <w:r>
        <w:rPr>
          <w:rFonts w:hint="eastAsia"/>
          <w:szCs w:val="21"/>
        </w:rPr>
        <w:t>.</w:t>
      </w:r>
    </w:p>
    <w:p w14:paraId="392B9459">
      <w:pPr>
        <w:autoSpaceDE w:val="0"/>
        <w:autoSpaceDN w:val="0"/>
        <w:adjustRightInd w:val="0"/>
        <w:jc w:val="left"/>
        <w:rPr>
          <w:rFonts w:hint="eastAsia"/>
          <w:b/>
          <w:szCs w:val="21"/>
        </w:rPr>
      </w:pPr>
    </w:p>
    <w:p w14:paraId="7353996B">
      <w:pPr>
        <w:autoSpaceDE w:val="0"/>
        <w:autoSpaceDN w:val="0"/>
        <w:adjustRightInd w:val="0"/>
        <w:jc w:val="left"/>
        <w:rPr>
          <w:rFonts w:hint="eastAsia"/>
          <w:b/>
          <w:szCs w:val="21"/>
        </w:rPr>
      </w:pPr>
    </w:p>
    <w:p w14:paraId="29811737">
      <w:pPr>
        <w:autoSpaceDE w:val="0"/>
        <w:autoSpaceDN w:val="0"/>
        <w:adjustRightInd w:val="0"/>
        <w:jc w:val="left"/>
        <w:rPr>
          <w:rFonts w:hint="eastAsia"/>
          <w:b/>
          <w:szCs w:val="21"/>
        </w:rPr>
      </w:pPr>
    </w:p>
    <w:p w14:paraId="46FF5AF8">
      <w:pPr>
        <w:autoSpaceDE w:val="0"/>
        <w:autoSpaceDN w:val="0"/>
        <w:adjustRightInd w:val="0"/>
        <w:jc w:val="left"/>
        <w:rPr>
          <w:rFonts w:hint="eastAsia"/>
          <w:b/>
          <w:szCs w:val="21"/>
        </w:rPr>
      </w:pPr>
    </w:p>
    <w:p w14:paraId="1F43BF5A">
      <w:pPr>
        <w:autoSpaceDE w:val="0"/>
        <w:autoSpaceDN w:val="0"/>
        <w:adjustRightInd w:val="0"/>
        <w:jc w:val="left"/>
        <w:rPr>
          <w:rFonts w:hint="eastAsia"/>
          <w:b/>
          <w:szCs w:val="21"/>
        </w:rPr>
      </w:pPr>
    </w:p>
    <w:p w14:paraId="17EB999E">
      <w:pPr>
        <w:autoSpaceDE w:val="0"/>
        <w:autoSpaceDN w:val="0"/>
        <w:adjustRightInd w:val="0"/>
        <w:jc w:val="left"/>
        <w:rPr>
          <w:rFonts w:hint="eastAsia"/>
          <w:b/>
          <w:szCs w:val="21"/>
        </w:rPr>
      </w:pPr>
    </w:p>
    <w:p w14:paraId="11FB2E36">
      <w:pPr>
        <w:autoSpaceDE w:val="0"/>
        <w:autoSpaceDN w:val="0"/>
        <w:adjustRightInd w:val="0"/>
        <w:jc w:val="left"/>
        <w:rPr>
          <w:rFonts w:hint="eastAsia"/>
          <w:szCs w:val="21"/>
          <w:lang/>
        </w:rPr>
      </w:pPr>
      <w:r>
        <w:rPr>
          <w:b/>
          <w:szCs w:val="21"/>
        </w:rPr>
        <w:t>Western blot:</w:t>
      </w:r>
    </w:p>
    <w:p w14:paraId="71EC9446">
      <w:pPr>
        <w:autoSpaceDE w:val="0"/>
        <w:autoSpaceDN w:val="0"/>
        <w:adjustRightInd w:val="0"/>
        <w:ind w:right="-422" w:rightChars="-201"/>
        <w:jc w:val="center"/>
        <w:rPr>
          <w:szCs w:val="21"/>
          <w:lang/>
        </w:rPr>
      </w:pPr>
      <w:r>
        <w:rPr>
          <w:szCs w:val="21"/>
          <w:lang/>
        </w:rPr>
        <w:drawing>
          <wp:inline distT="0" distB="0" distL="114300" distR="114300">
            <wp:extent cx="2087880" cy="2393315"/>
            <wp:effectExtent l="0" t="0" r="0" b="0"/>
            <wp:docPr id="2" name="图片 5" descr="GNAQ (Q209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descr="GNAQ (Q209R)"/>
                    <pic:cNvPicPr>
                      <a:picLocks noChangeAspect="1"/>
                    </pic:cNvPicPr>
                  </pic:nvPicPr>
                  <pic:blipFill>
                    <a:blip r:embed="rId10"/>
                    <a:stretch>
                      <a:fillRect/>
                    </a:stretch>
                  </pic:blipFill>
                  <pic:spPr>
                    <a:xfrm>
                      <a:off x="0" y="0"/>
                      <a:ext cx="2087880" cy="2393315"/>
                    </a:xfrm>
                    <a:prstGeom prst="rect">
                      <a:avLst/>
                    </a:prstGeom>
                    <a:noFill/>
                    <a:ln>
                      <a:noFill/>
                    </a:ln>
                  </pic:spPr>
                </pic:pic>
              </a:graphicData>
            </a:graphic>
          </wp:inline>
        </w:drawing>
      </w:r>
    </w:p>
    <w:p w14:paraId="644C6EBB">
      <w:pPr>
        <w:autoSpaceDE w:val="0"/>
        <w:autoSpaceDN w:val="0"/>
        <w:adjustRightInd w:val="0"/>
        <w:jc w:val="left"/>
        <w:rPr>
          <w:rFonts w:hint="eastAsia"/>
          <w:szCs w:val="21"/>
        </w:rPr>
      </w:pPr>
      <w:r>
        <w:rPr>
          <w:b/>
          <w:szCs w:val="21"/>
          <w:lang/>
        </w:rPr>
        <w:t>Western blot analysis of</w:t>
      </w:r>
      <w:r>
        <w:rPr>
          <w:rFonts w:hint="eastAsia"/>
          <w:b/>
          <w:szCs w:val="21"/>
          <w:lang/>
        </w:rPr>
        <w:t xml:space="preserve"> recombinant</w:t>
      </w:r>
      <w:r>
        <w:rPr>
          <w:b/>
          <w:szCs w:val="21"/>
          <w:lang/>
        </w:rPr>
        <w:t xml:space="preserve"> </w:t>
      </w:r>
      <w:r>
        <w:rPr>
          <w:rFonts w:hint="eastAsia"/>
          <w:b/>
          <w:szCs w:val="21"/>
        </w:rPr>
        <w:t xml:space="preserve">GNAQ (Q209R) </w:t>
      </w:r>
      <w:r>
        <w:rPr>
          <w:rFonts w:hint="eastAsia"/>
          <w:b/>
          <w:szCs w:val="21"/>
          <w:lang/>
        </w:rPr>
        <w:t xml:space="preserve">and wildtype </w:t>
      </w:r>
      <w:r>
        <w:rPr>
          <w:b/>
          <w:szCs w:val="21"/>
          <w:lang/>
        </w:rPr>
        <w:t>proteins.</w:t>
      </w:r>
      <w:r>
        <w:rPr>
          <w:szCs w:val="21"/>
          <w:lang/>
        </w:rPr>
        <w:t xml:space="preserve"> </w:t>
      </w:r>
      <w:r>
        <w:rPr>
          <w:szCs w:val="21"/>
        </w:rPr>
        <w:t xml:space="preserve">Purified His-tagged </w:t>
      </w:r>
      <w:r>
        <w:rPr>
          <w:rFonts w:hint="eastAsia"/>
          <w:szCs w:val="21"/>
        </w:rPr>
        <w:t xml:space="preserve">GNAQ (Q209R) </w:t>
      </w:r>
      <w:r>
        <w:rPr>
          <w:szCs w:val="21"/>
        </w:rPr>
        <w:t>protein</w:t>
      </w:r>
      <w:r>
        <w:rPr>
          <w:rFonts w:hint="eastAsia"/>
          <w:szCs w:val="21"/>
        </w:rPr>
        <w:t xml:space="preserve"> (lane2) and corresponding wild-type protein (lane1) were</w:t>
      </w:r>
      <w:r>
        <w:rPr>
          <w:szCs w:val="21"/>
        </w:rPr>
        <w:t xml:space="preserve"> blotted with anti-</w:t>
      </w:r>
      <w:r>
        <w:rPr>
          <w:rFonts w:hint="eastAsia"/>
          <w:szCs w:val="21"/>
        </w:rPr>
        <w:t>GNAQ (Q209R)</w:t>
      </w:r>
      <w:r>
        <w:rPr>
          <w:szCs w:val="21"/>
        </w:rPr>
        <w:t xml:space="preserve"> </w:t>
      </w:r>
      <w:r>
        <w:rPr>
          <w:rFonts w:hint="eastAsia"/>
          <w:szCs w:val="21"/>
        </w:rPr>
        <w:t>monoclonal</w:t>
      </w:r>
      <w:r>
        <w:rPr>
          <w:szCs w:val="21"/>
        </w:rPr>
        <w:t xml:space="preserve"> antibody</w:t>
      </w:r>
      <w:r>
        <w:rPr>
          <w:rFonts w:hint="eastAsia"/>
          <w:szCs w:val="21"/>
        </w:rPr>
        <w:t xml:space="preserve"> </w:t>
      </w:r>
      <w:r>
        <w:rPr>
          <w:szCs w:val="21"/>
          <w:lang/>
        </w:rPr>
        <w:t>(Cat</w:t>
      </w:r>
      <w:r>
        <w:rPr>
          <w:rFonts w:hint="eastAsia"/>
          <w:szCs w:val="21"/>
          <w:lang/>
        </w:rPr>
        <w:t xml:space="preserve">. </w:t>
      </w:r>
      <w:r>
        <w:rPr>
          <w:szCs w:val="21"/>
          <w:lang/>
        </w:rPr>
        <w:t>#</w:t>
      </w:r>
      <w:r>
        <w:rPr>
          <w:rFonts w:hint="eastAsia"/>
          <w:szCs w:val="21"/>
        </w:rPr>
        <w:t>26330</w:t>
      </w:r>
      <w:r>
        <w:rPr>
          <w:szCs w:val="21"/>
          <w:lang/>
        </w:rPr>
        <w:t>)</w:t>
      </w:r>
      <w:r>
        <w:rPr>
          <w:rFonts w:hint="eastAsia"/>
          <w:szCs w:val="21"/>
          <w:lang/>
        </w:rPr>
        <w:t xml:space="preserve">. </w:t>
      </w:r>
    </w:p>
    <w:p w14:paraId="0A33806B">
      <w:pPr>
        <w:autoSpaceDE w:val="0"/>
        <w:autoSpaceDN w:val="0"/>
        <w:adjustRightInd w:val="0"/>
        <w:jc w:val="left"/>
        <w:rPr>
          <w:rFonts w:hint="eastAsia"/>
          <w:szCs w:val="21"/>
          <w:lang/>
        </w:rPr>
      </w:pPr>
    </w:p>
    <w:p w14:paraId="034000FE">
      <w:pPr>
        <w:autoSpaceDE w:val="0"/>
        <w:autoSpaceDN w:val="0"/>
        <w:adjustRightInd w:val="0"/>
        <w:jc w:val="left"/>
        <w:rPr>
          <w:rFonts w:hint="eastAsia"/>
          <w:szCs w:val="21"/>
          <w:lang/>
        </w:rPr>
      </w:pPr>
    </w:p>
    <w:p w14:paraId="7147B22F">
      <w:pPr>
        <w:autoSpaceDE w:val="0"/>
        <w:autoSpaceDN w:val="0"/>
        <w:adjustRightInd w:val="0"/>
        <w:jc w:val="left"/>
        <w:rPr>
          <w:rFonts w:hint="eastAsia"/>
          <w:szCs w:val="21"/>
          <w:lang/>
        </w:rPr>
      </w:pPr>
    </w:p>
    <w:p w14:paraId="05F4BCA4">
      <w:pPr>
        <w:autoSpaceDE w:val="0"/>
        <w:autoSpaceDN w:val="0"/>
        <w:adjustRightInd w:val="0"/>
        <w:jc w:val="left"/>
        <w:rPr>
          <w:rFonts w:hint="eastAsia"/>
          <w:szCs w:val="21"/>
          <w:lang/>
        </w:rPr>
      </w:pPr>
    </w:p>
    <w:p w14:paraId="468D5172">
      <w:pPr>
        <w:autoSpaceDE w:val="0"/>
        <w:autoSpaceDN w:val="0"/>
        <w:adjustRightInd w:val="0"/>
        <w:jc w:val="left"/>
        <w:rPr>
          <w:rFonts w:hint="eastAsia"/>
          <w:szCs w:val="21"/>
          <w:lang/>
        </w:rPr>
      </w:pPr>
    </w:p>
    <w:p w14:paraId="27776050">
      <w:pPr>
        <w:autoSpaceDE w:val="0"/>
        <w:autoSpaceDN w:val="0"/>
        <w:adjustRightInd w:val="0"/>
        <w:jc w:val="left"/>
        <w:rPr>
          <w:rFonts w:hint="eastAsia"/>
          <w:szCs w:val="21"/>
          <w:lang/>
        </w:rPr>
      </w:pPr>
    </w:p>
    <w:p w14:paraId="229AFCC3">
      <w:pPr>
        <w:autoSpaceDE w:val="0"/>
        <w:autoSpaceDN w:val="0"/>
        <w:adjustRightInd w:val="0"/>
        <w:jc w:val="left"/>
        <w:rPr>
          <w:rFonts w:hint="eastAsia"/>
          <w:szCs w:val="21"/>
          <w:lang/>
        </w:rPr>
      </w:pPr>
    </w:p>
    <w:p w14:paraId="6DBFD1C4">
      <w:pPr>
        <w:autoSpaceDE w:val="0"/>
        <w:autoSpaceDN w:val="0"/>
        <w:adjustRightInd w:val="0"/>
        <w:jc w:val="left"/>
        <w:rPr>
          <w:rFonts w:hint="eastAsia"/>
          <w:szCs w:val="21"/>
          <w:lang/>
        </w:rPr>
      </w:pPr>
    </w:p>
    <w:p w14:paraId="04EEF413">
      <w:pPr>
        <w:autoSpaceDE w:val="0"/>
        <w:autoSpaceDN w:val="0"/>
        <w:adjustRightInd w:val="0"/>
        <w:jc w:val="left"/>
        <w:rPr>
          <w:rFonts w:hint="eastAsia"/>
          <w:szCs w:val="21"/>
          <w:lang/>
        </w:rPr>
      </w:pPr>
    </w:p>
    <w:p w14:paraId="4E8CEF0B">
      <w:pPr>
        <w:autoSpaceDE w:val="0"/>
        <w:autoSpaceDN w:val="0"/>
        <w:adjustRightInd w:val="0"/>
        <w:jc w:val="left"/>
        <w:rPr>
          <w:rFonts w:hint="eastAsia"/>
          <w:szCs w:val="21"/>
          <w:lang/>
        </w:rPr>
      </w:pPr>
    </w:p>
    <w:p w14:paraId="544B8E75">
      <w:pPr>
        <w:autoSpaceDE w:val="0"/>
        <w:autoSpaceDN w:val="0"/>
        <w:adjustRightInd w:val="0"/>
        <w:jc w:val="left"/>
        <w:rPr>
          <w:rFonts w:hint="eastAsia"/>
          <w:szCs w:val="21"/>
          <w:lang/>
        </w:rPr>
      </w:pPr>
    </w:p>
    <w:p w14:paraId="45E3F0B6">
      <w:pPr>
        <w:autoSpaceDE w:val="0"/>
        <w:autoSpaceDN w:val="0"/>
        <w:adjustRightInd w:val="0"/>
        <w:jc w:val="left"/>
        <w:rPr>
          <w:rFonts w:hint="eastAsia"/>
          <w:szCs w:val="21"/>
          <w:lang/>
        </w:rPr>
      </w:pPr>
    </w:p>
    <w:p w14:paraId="7967F319">
      <w:pPr>
        <w:autoSpaceDE w:val="0"/>
        <w:autoSpaceDN w:val="0"/>
        <w:adjustRightInd w:val="0"/>
        <w:jc w:val="left"/>
        <w:rPr>
          <w:rFonts w:hint="eastAsia"/>
          <w:szCs w:val="21"/>
          <w:lang/>
        </w:rPr>
      </w:pPr>
    </w:p>
    <w:p w14:paraId="3C6D102A">
      <w:pPr>
        <w:autoSpaceDE w:val="0"/>
        <w:autoSpaceDN w:val="0"/>
        <w:adjustRightInd w:val="0"/>
        <w:jc w:val="left"/>
        <w:rPr>
          <w:b/>
          <w:szCs w:val="21"/>
        </w:rPr>
      </w:pPr>
    </w:p>
    <w:p w14:paraId="713160B9">
      <w:pPr>
        <w:autoSpaceDE w:val="0"/>
        <w:autoSpaceDN w:val="0"/>
        <w:adjustRightInd w:val="0"/>
        <w:jc w:val="left"/>
        <w:rPr>
          <w:b/>
          <w:szCs w:val="21"/>
        </w:rPr>
      </w:pPr>
    </w:p>
    <w:p w14:paraId="6A6A9336">
      <w:pPr>
        <w:autoSpaceDE w:val="0"/>
        <w:autoSpaceDN w:val="0"/>
        <w:adjustRightInd w:val="0"/>
        <w:jc w:val="left"/>
        <w:rPr>
          <w:b/>
          <w:szCs w:val="21"/>
        </w:rPr>
      </w:pPr>
    </w:p>
    <w:p w14:paraId="68D5AB3C">
      <w:pPr>
        <w:autoSpaceDE w:val="0"/>
        <w:autoSpaceDN w:val="0"/>
        <w:adjustRightInd w:val="0"/>
        <w:jc w:val="left"/>
        <w:rPr>
          <w:b/>
          <w:szCs w:val="21"/>
        </w:rPr>
      </w:pPr>
    </w:p>
    <w:p w14:paraId="173B03B7">
      <w:pPr>
        <w:autoSpaceDE w:val="0"/>
        <w:autoSpaceDN w:val="0"/>
        <w:adjustRightInd w:val="0"/>
        <w:jc w:val="left"/>
        <w:rPr>
          <w:b/>
          <w:szCs w:val="21"/>
        </w:rPr>
      </w:pPr>
      <w:r>
        <w:rPr>
          <w:b/>
          <w:szCs w:val="21"/>
        </w:rPr>
        <w:t>Immunofluorescence:</w:t>
      </w:r>
    </w:p>
    <w:p w14:paraId="73172E21">
      <w:pPr>
        <w:autoSpaceDE w:val="0"/>
        <w:autoSpaceDN w:val="0"/>
        <w:adjustRightInd w:val="0"/>
        <w:jc w:val="left"/>
        <w:rPr>
          <w:rFonts w:hint="eastAsia"/>
          <w:b/>
          <w:szCs w:val="21"/>
        </w:rPr>
      </w:pPr>
      <w:r>
        <w:rPr>
          <w:b/>
          <w:szCs w:val="21"/>
        </w:rPr>
        <w:drawing>
          <wp:inline distT="0" distB="0" distL="114300" distR="114300">
            <wp:extent cx="2917825" cy="2650490"/>
            <wp:effectExtent l="0" t="0" r="0" b="16510"/>
            <wp:docPr id="3" name="图片 2" descr="26330 GNAQ (Q209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6330 GNAQ (Q209R)"/>
                    <pic:cNvPicPr>
                      <a:picLocks noChangeAspect="1"/>
                    </pic:cNvPicPr>
                  </pic:nvPicPr>
                  <pic:blipFill>
                    <a:blip r:embed="rId11"/>
                    <a:stretch>
                      <a:fillRect/>
                    </a:stretch>
                  </pic:blipFill>
                  <pic:spPr>
                    <a:xfrm>
                      <a:off x="0" y="0"/>
                      <a:ext cx="2917825" cy="2650490"/>
                    </a:xfrm>
                    <a:prstGeom prst="rect">
                      <a:avLst/>
                    </a:prstGeom>
                    <a:noFill/>
                    <a:ln>
                      <a:noFill/>
                    </a:ln>
                  </pic:spPr>
                </pic:pic>
              </a:graphicData>
            </a:graphic>
          </wp:inline>
        </w:drawing>
      </w:r>
    </w:p>
    <w:p w14:paraId="2753089C">
      <w:pPr>
        <w:autoSpaceDE w:val="0"/>
        <w:autoSpaceDN w:val="0"/>
        <w:adjustRightInd w:val="0"/>
        <w:jc w:val="left"/>
        <w:rPr>
          <w:szCs w:val="21"/>
        </w:rPr>
      </w:pPr>
      <w:r>
        <w:rPr>
          <w:b/>
          <w:szCs w:val="21"/>
        </w:rPr>
        <w:t xml:space="preserve">Immunofluorescence of cells expressing </w:t>
      </w:r>
      <w:r>
        <w:rPr>
          <w:rFonts w:hint="eastAsia"/>
          <w:b/>
          <w:szCs w:val="21"/>
        </w:rPr>
        <w:t>GNAQ</w:t>
      </w:r>
      <w:r>
        <w:rPr>
          <w:b/>
          <w:szCs w:val="21"/>
        </w:rPr>
        <w:t xml:space="preserve"> proteins with anti-</w:t>
      </w:r>
      <w:r>
        <w:rPr>
          <w:rFonts w:hint="eastAsia"/>
          <w:b/>
          <w:szCs w:val="21"/>
        </w:rPr>
        <w:t>GNAQ</w:t>
      </w:r>
      <w:r>
        <w:rPr>
          <w:b/>
          <w:szCs w:val="21"/>
        </w:rPr>
        <w:t xml:space="preserve"> (</w:t>
      </w:r>
      <w:r>
        <w:rPr>
          <w:rFonts w:hint="eastAsia"/>
          <w:b/>
          <w:szCs w:val="21"/>
        </w:rPr>
        <w:t>Q209R</w:t>
      </w:r>
      <w:r>
        <w:rPr>
          <w:b/>
          <w:szCs w:val="21"/>
        </w:rPr>
        <w:t xml:space="preserve">) antibody. </w:t>
      </w:r>
      <w:r>
        <w:rPr>
          <w:szCs w:val="21"/>
        </w:rPr>
        <w:t>HEK293T cells were transfected with pCDNA3-GFP-</w:t>
      </w:r>
      <w:r>
        <w:rPr>
          <w:rFonts w:hint="eastAsia"/>
          <w:szCs w:val="21"/>
        </w:rPr>
        <w:t>GNAQ</w:t>
      </w:r>
      <w:r>
        <w:rPr>
          <w:szCs w:val="21"/>
        </w:rPr>
        <w:t xml:space="preserve"> (WT) plasmid (left column) or pCDNA3-GFP-</w:t>
      </w:r>
      <w:r>
        <w:rPr>
          <w:rFonts w:hint="eastAsia"/>
          <w:szCs w:val="21"/>
        </w:rPr>
        <w:t>GNAQ</w:t>
      </w:r>
      <w:r>
        <w:rPr>
          <w:szCs w:val="21"/>
        </w:rPr>
        <w:t xml:space="preserve"> (</w:t>
      </w:r>
      <w:r>
        <w:rPr>
          <w:rFonts w:hint="eastAsia"/>
          <w:szCs w:val="21"/>
        </w:rPr>
        <w:t>Q209R</w:t>
      </w:r>
      <w:r>
        <w:rPr>
          <w:szCs w:val="21"/>
        </w:rPr>
        <w:t>)</w:t>
      </w:r>
      <w:r>
        <w:rPr>
          <w:b/>
          <w:szCs w:val="21"/>
        </w:rPr>
        <w:t xml:space="preserve"> </w:t>
      </w:r>
      <w:r>
        <w:rPr>
          <w:szCs w:val="21"/>
        </w:rPr>
        <w:t>plasmid (right column), then fixed and stained with anti-</w:t>
      </w:r>
      <w:r>
        <w:rPr>
          <w:rFonts w:hint="eastAsia"/>
          <w:szCs w:val="21"/>
        </w:rPr>
        <w:t>GNAQ</w:t>
      </w:r>
      <w:r>
        <w:rPr>
          <w:szCs w:val="21"/>
        </w:rPr>
        <w:t xml:space="preserve"> (</w:t>
      </w:r>
      <w:r>
        <w:rPr>
          <w:rFonts w:hint="eastAsia"/>
          <w:szCs w:val="21"/>
        </w:rPr>
        <w:t>Q209R</w:t>
      </w:r>
      <w:r>
        <w:rPr>
          <w:szCs w:val="21"/>
        </w:rPr>
        <w:t>) monoclonal antibody (Cat. #26330).</w:t>
      </w:r>
    </w:p>
    <w:p w14:paraId="44916656">
      <w:pPr>
        <w:autoSpaceDE w:val="0"/>
        <w:autoSpaceDN w:val="0"/>
        <w:adjustRightInd w:val="0"/>
        <w:jc w:val="left"/>
        <w:rPr>
          <w:b/>
          <w:szCs w:val="21"/>
        </w:rPr>
      </w:pPr>
    </w:p>
    <w:p w14:paraId="0B44A236">
      <w:pPr>
        <w:autoSpaceDE w:val="0"/>
        <w:autoSpaceDN w:val="0"/>
        <w:adjustRightInd w:val="0"/>
        <w:jc w:val="left"/>
        <w:rPr>
          <w:rFonts w:hint="eastAsia"/>
          <w:b/>
          <w:szCs w:val="21"/>
        </w:rPr>
      </w:pPr>
    </w:p>
    <w:p w14:paraId="54A2432C">
      <w:pPr>
        <w:autoSpaceDE w:val="0"/>
        <w:autoSpaceDN w:val="0"/>
        <w:adjustRightInd w:val="0"/>
        <w:jc w:val="left"/>
        <w:rPr>
          <w:rFonts w:hint="eastAsia"/>
          <w:b/>
          <w:szCs w:val="21"/>
        </w:rPr>
      </w:pPr>
    </w:p>
    <w:p w14:paraId="479F0911">
      <w:pPr>
        <w:autoSpaceDE w:val="0"/>
        <w:autoSpaceDN w:val="0"/>
        <w:adjustRightInd w:val="0"/>
        <w:jc w:val="left"/>
        <w:rPr>
          <w:rFonts w:hint="eastAsia"/>
          <w:b/>
          <w:szCs w:val="21"/>
        </w:rPr>
      </w:pPr>
    </w:p>
    <w:p w14:paraId="7E86C32B">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科博瑞（武汉）生物科技有限公司</w:t>
      </w:r>
    </w:p>
    <w:p w14:paraId="578181F3">
      <w:p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TEL：027-87615885  15972062685</w:t>
      </w:r>
    </w:p>
    <w:p w14:paraId="70876CE5">
      <w:pPr>
        <w:numPr>
          <w:ilvl w:val="0"/>
          <w:numId w:val="1"/>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mail：</w:t>
      </w:r>
      <w:r>
        <w:rPr>
          <w:rFonts w:hint="default" w:ascii="Arial" w:hAnsi="Arial" w:eastAsia="宋体" w:cs="Arial"/>
          <w:b/>
          <w:bCs/>
          <w:sz w:val="18"/>
          <w:szCs w:val="18"/>
          <w:lang w:val="en-US" w:eastAsia="zh-CN"/>
        </w:rPr>
        <w:fldChar w:fldCharType="begin"/>
      </w:r>
      <w:r>
        <w:rPr>
          <w:rFonts w:hint="default" w:ascii="Arial" w:hAnsi="Arial" w:eastAsia="宋体" w:cs="Arial"/>
          <w:b/>
          <w:bCs/>
          <w:sz w:val="18"/>
          <w:szCs w:val="18"/>
          <w:lang w:val="en-US" w:eastAsia="zh-CN"/>
        </w:rPr>
        <w:instrText xml:space="preserve"> HYPERLINK "mailto:3636901710@qq.com" </w:instrText>
      </w:r>
      <w:r>
        <w:rPr>
          <w:rFonts w:hint="default" w:ascii="Arial" w:hAnsi="Arial" w:eastAsia="宋体" w:cs="Arial"/>
          <w:b/>
          <w:bCs/>
          <w:sz w:val="18"/>
          <w:szCs w:val="18"/>
          <w:lang w:val="en-US" w:eastAsia="zh-CN"/>
        </w:rPr>
        <w:fldChar w:fldCharType="separate"/>
      </w:r>
      <w:r>
        <w:rPr>
          <w:rStyle w:val="9"/>
          <w:rFonts w:hint="default" w:ascii="Arial" w:hAnsi="Arial" w:eastAsia="宋体" w:cs="Arial"/>
          <w:b/>
          <w:bCs/>
          <w:sz w:val="18"/>
          <w:szCs w:val="18"/>
          <w:lang w:val="en-US" w:eastAsia="zh-CN"/>
        </w:rPr>
        <w:t>3636901710@qq.com</w:t>
      </w:r>
      <w:r>
        <w:rPr>
          <w:rFonts w:hint="default" w:ascii="Arial" w:hAnsi="Arial" w:eastAsia="宋体" w:cs="Arial"/>
          <w:b/>
          <w:bCs/>
          <w:sz w:val="18"/>
          <w:szCs w:val="18"/>
          <w:lang w:val="en-US" w:eastAsia="zh-CN"/>
        </w:rPr>
        <w:fldChar w:fldCharType="end"/>
      </w:r>
    </w:p>
    <w:p w14:paraId="30A665CD">
      <w:pPr>
        <w:numPr>
          <w:ilvl w:val="0"/>
          <w:numId w:val="0"/>
        </w:numPr>
        <w:rPr>
          <w:rFonts w:hint="default" w:ascii="Arial" w:hAnsi="Arial" w:eastAsia="宋体" w:cs="Arial"/>
          <w:b/>
          <w:bCs/>
          <w:sz w:val="18"/>
          <w:szCs w:val="18"/>
          <w:lang w:val="en-US" w:eastAsia="zh-CN"/>
        </w:rPr>
      </w:pPr>
      <w:r>
        <w:rPr>
          <w:rFonts w:hint="default" w:ascii="Arial" w:hAnsi="Arial" w:eastAsia="宋体" w:cs="Arial"/>
          <w:b/>
          <w:bCs/>
          <w:sz w:val="18"/>
          <w:szCs w:val="18"/>
          <w:lang w:val="en-US" w:eastAsia="zh-CN"/>
        </w:rPr>
        <w:t>Web:www.coburybio.com</w:t>
      </w:r>
    </w:p>
    <w:p w14:paraId="69B19856">
      <w:pPr>
        <w:autoSpaceDE w:val="0"/>
        <w:autoSpaceDN w:val="0"/>
        <w:adjustRightInd w:val="0"/>
        <w:jc w:val="left"/>
        <w:rPr>
          <w:rFonts w:hint="eastAsia"/>
          <w:b/>
          <w:szCs w:val="21"/>
        </w:rPr>
      </w:pPr>
    </w:p>
    <w:sectPr>
      <w:headerReference r:id="rId7" w:type="default"/>
      <w:footerReference r:id="rId8" w:type="default"/>
      <w:type w:val="continuous"/>
      <w:pgSz w:w="11906" w:h="16838"/>
      <w:pgMar w:top="1440" w:right="1286"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w:altName w:val="Times New Roman"/>
    <w:panose1 w:val="02020603050405020304"/>
    <w:charset w:val="00"/>
    <w:family w:val="roman"/>
    <w:pitch w:val="default"/>
    <w:sig w:usb0="20002A87" w:usb1="80000000" w:usb2="00000008" w:usb3="00000000" w:csb0="000001FF" w:csb1="00000000"/>
  </w:font>
  <w:font w:name="Arial">
    <w:panose1 w:val="020B0604020202020204"/>
    <w:charset w:val="00"/>
    <w:family w:val="swiss"/>
    <w:pitch w:val="default"/>
    <w:sig w:usb0="E0002EFF" w:usb1="C000785B" w:usb2="00000009" w:usb3="00000000" w:csb0="400001FF" w:csb1="FFFF0000"/>
  </w:font>
  <w:font w:name="Arial Black">
    <w:panose1 w:val="020B0A04020102020204"/>
    <w:charset w:val="00"/>
    <w:family w:val="swiss"/>
    <w:pitch w:val="default"/>
    <w:sig w:usb0="A00002AF" w:usb1="4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C0510">
    <w:pPr>
      <w:jc w:val="center"/>
      <w:rPr>
        <w:rFonts w:hint="eastAsia" w:ascii="Arial" w:hAnsi="Arial" w:cs="Arial"/>
        <w:b/>
        <w:sz w:val="16"/>
        <w:szCs w:val="16"/>
      </w:rPr>
    </w:pPr>
  </w:p>
  <w:p w14:paraId="37A7DA5C">
    <w:pPr>
      <w:jc w:val="center"/>
      <w:rPr>
        <w:rFonts w:hint="eastAsia" w:ascii="Arial" w:hAnsi="Arial" w:cs="Arial"/>
        <w:b/>
        <w:sz w:val="16"/>
        <w:szCs w:val="16"/>
      </w:rPr>
    </w:pPr>
  </w:p>
  <w:p w14:paraId="385975E6">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4" name="直线 2"/>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2" o:spid="_x0000_s1026" o:spt="20" style="position:absolute;left:0pt;margin-left:-27pt;margin-top:-9.4pt;height:0pt;width:502.5pt;z-index:251659264;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8yqDX+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5B382D37">
    <w:pPr>
      <w:jc w:val="center"/>
      <w:rPr>
        <w:rFonts w:hint="eastAsia" w:ascii="Arial" w:hAnsi="Arial" w:cs="Arial"/>
        <w:b/>
        <w:i/>
        <w:sz w:val="18"/>
        <w:szCs w:val="18"/>
      </w:rPr>
    </w:pPr>
  </w:p>
  <w:p w14:paraId="04FFFB5E">
    <w:pPr>
      <w:jc w:val="center"/>
      <w:rPr>
        <w: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6A9C2F">
    <w:pPr>
      <w:jc w:val="center"/>
      <w:rPr>
        <w:rFonts w:hint="eastAsia" w:ascii="Arial" w:hAnsi="Arial" w:cs="Arial"/>
        <w:b/>
        <w:sz w:val="16"/>
        <w:szCs w:val="16"/>
      </w:rPr>
    </w:pPr>
  </w:p>
  <w:p w14:paraId="6D32C407">
    <w:pPr>
      <w:jc w:val="center"/>
      <w:rPr>
        <w:rFonts w:hint="eastAsia" w:ascii="Arial" w:hAnsi="Arial" w:cs="Arial"/>
        <w:b/>
        <w:sz w:val="16"/>
        <w:szCs w:val="16"/>
      </w:rPr>
    </w:pPr>
  </w:p>
  <w:p w14:paraId="560F091C">
    <w:pPr>
      <w:jc w:val="center"/>
      <w:rPr>
        <w: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059A7">
    <w:pPr>
      <w:jc w:val="center"/>
      <w:rPr>
        <w:rFonts w:hint="eastAsia" w:ascii="Arial" w:hAnsi="Arial" w:cs="Arial"/>
        <w:b/>
        <w:sz w:val="16"/>
        <w:szCs w:val="16"/>
      </w:rPr>
    </w:pPr>
  </w:p>
  <w:p w14:paraId="4AD89558">
    <w:pPr>
      <w:jc w:val="center"/>
      <w:rPr>
        <w:rFonts w:hint="eastAsia" w:ascii="Arial" w:hAnsi="Arial" w:cs="Arial"/>
        <w:b/>
        <w:sz w:val="16"/>
        <w:szCs w:val="16"/>
      </w:rPr>
    </w:pPr>
  </w:p>
  <w:p w14:paraId="23F425E0">
    <w:pPr>
      <w:jc w:val="center"/>
      <w:rPr>
        <w:rFonts w:hint="eastAsia" w:ascii="Arial" w:hAnsi="Arial" w:cs="Arial"/>
        <w:b/>
        <w:sz w:val="18"/>
        <w:szCs w:val="18"/>
      </w:rPr>
    </w:pPr>
    <w:r>
      <w:rPr>
        <w:rFonts w:hint="eastAsia" w:ascii="Arial" w:hAnsi="Arial" w:cs="Arial"/>
        <w:b/>
        <w:sz w:val="18"/>
        <w:szCs w:val="18"/>
        <w:lang/>
      </w:rPr>
      <mc:AlternateContent>
        <mc:Choice Requires="wps">
          <w:drawing>
            <wp:anchor distT="0" distB="0" distL="114300" distR="114300" simplePos="0" relativeHeight="251662336" behindDoc="0" locked="0" layoutInCell="1" allowOverlap="1">
              <wp:simplePos x="0" y="0"/>
              <wp:positionH relativeFrom="column">
                <wp:posOffset>-342900</wp:posOffset>
              </wp:positionH>
              <wp:positionV relativeFrom="paragraph">
                <wp:posOffset>-119380</wp:posOffset>
              </wp:positionV>
              <wp:extent cx="6381750" cy="0"/>
              <wp:effectExtent l="0" t="19050" r="0" b="19050"/>
              <wp:wrapNone/>
              <wp:docPr id="7" name="直线 4"/>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4" o:spid="_x0000_s1026" o:spt="20" style="position:absolute;left:0pt;margin-left:-27pt;margin-top:-9.4pt;height:0pt;width:502.5pt;z-index:251662336;mso-width-relative:page;mso-height-relative:page;" filled="f" stroked="t" coordsize="21600,21600" o:gfxdata="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Xbsq+&#10;2QAAAAsBAAAPAAAAAAAAAAEAIAAAACIAAABkcnMvZG93bnJldi54bWxQSwECFAAUAAAACACHTuJA&#10;JYL90ecBAADcAwAADgAAAAAAAAABACAAAAAoAQAAZHJzL2Uyb0RvYy54bWxQSwUGAAAAAAYABgBZ&#10;AQAAgQUAAAAA&#10;">
              <v:fill on="f" focussize="0,0"/>
              <v:stroke weight="3pt" color="#008000" joinstyle="round"/>
              <v:imagedata o:title=""/>
              <o:lock v:ext="edit" aspectratio="f"/>
            </v:line>
          </w:pict>
        </mc:Fallback>
      </mc:AlternateContent>
    </w:r>
    <w:r>
      <w:rPr>
        <w:rFonts w:hint="eastAsia" w:ascii="Arial" w:hAnsi="Arial" w:cs="Arial"/>
        <w:b/>
        <w:sz w:val="18"/>
        <w:szCs w:val="18"/>
      </w:rPr>
      <w:t xml:space="preserve"> For research use only. Not for</w:t>
    </w:r>
    <w:r>
      <w:rPr>
        <w:rFonts w:ascii="Arial" w:hAnsi="Arial" w:cs="Arial"/>
        <w:b/>
        <w:sz w:val="18"/>
        <w:szCs w:val="18"/>
      </w:rPr>
      <w:t xml:space="preserve"> diagnostic or therapeutic applications.</w:t>
    </w:r>
  </w:p>
  <w:p w14:paraId="4528F02B">
    <w:pPr>
      <w:jc w:val="center"/>
      <w:rPr>
        <w:rFonts w:hint="eastAsia" w:ascii="Arial" w:hAnsi="Arial" w:cs="Arial"/>
        <w:b/>
        <w:i/>
        <w:sz w:val="18"/>
        <w:szCs w:val="18"/>
      </w:rPr>
    </w:pPr>
  </w:p>
  <w:p w14:paraId="48A95C8B">
    <w:pPr>
      <w:jc w:val="center"/>
      <w:rPr>
        <w:b/>
      </w:rPr>
    </w:pPr>
  </w:p>
  <w:p w14:paraId="71572932">
    <w:pPr>
      <w:jc w:val="center"/>
      <w:rPr>
        <w:b/>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AA0E8">
    <w:pPr>
      <w:ind w:right="-874" w:rightChars="-416"/>
      <w:rPr>
        <w:rFonts w:ascii="Arial Black" w:hAnsi="Arial Black" w:cs="Arial"/>
        <w:b/>
        <w:color w:val="339933"/>
        <w:sz w:val="24"/>
      </w:rPr>
    </w:pPr>
    <w:r>
      <w:rPr>
        <w:rFonts w:hint="eastAsia"/>
        <w:lang/>
      </w:rPr>
      <w:drawing>
        <wp:inline distT="0" distB="0" distL="114300" distR="114300">
          <wp:extent cx="1040130" cy="968375"/>
          <wp:effectExtent l="0" t="0" r="7620" b="3175"/>
          <wp:docPr id="8" name="图片 6" descr="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999"/>
                  <pic:cNvPicPr>
                    <a:picLocks noChangeAspect="1"/>
                  </pic:cNvPicPr>
                </pic:nvPicPr>
                <pic:blipFill>
                  <a:blip r:embed="rId1"/>
                  <a:stretch>
                    <a:fillRect/>
                  </a:stretch>
                </pic:blipFill>
                <pic:spPr>
                  <a:xfrm>
                    <a:off x="0" y="0"/>
                    <a:ext cx="1040130" cy="968375"/>
                  </a:xfrm>
                  <a:prstGeom prst="rect">
                    <a:avLst/>
                  </a:prstGeom>
                  <a:noFill/>
                  <a:ln>
                    <a:noFill/>
                  </a:ln>
                </pic:spPr>
              </pic:pic>
            </a:graphicData>
          </a:graphic>
        </wp:inline>
      </w:drawing>
    </w:r>
    <w:r>
      <w:rPr>
        <w:rFonts w:hint="eastAsia"/>
        <w:lang/>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5" name="直线 1"/>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1" o:spid="_x0000_s1026" o:spt="20" style="position:absolute;left:0pt;margin-left:-27pt;margin-top:76.25pt;height:0pt;width:502.5pt;z-index:251660288;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NqnXHrZ&#10;AAAACwEAAA8AAAAAAAAAAQAgAAAAIgAAAGRycy9kb3ducmV2LnhtbFBLAQIUABQAAAAIAIdO4kA7&#10;KAmS5gEAANwDAAAOAAAAAAAAAAEAIAAAACgBAABkcnMvZTJvRG9jLnhtbFBLBQYAAAAABgAGAFkB&#10;AACABQAAAAA=&#10;">
              <v:fill on="f" focussize="0,0"/>
              <v:stroke weight="3pt" color="#008000" joinstyle="round"/>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FDB99">
    <w:pPr>
      <w:ind w:right="-874" w:rightChars="-416" w:firstLine="1325" w:firstLineChars="550"/>
      <w:rPr>
        <w:rFonts w:ascii="Arial Black" w:hAnsi="Arial Black" w:cs="Arial"/>
        <w:b/>
        <w:color w:val="339933"/>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D8C10">
    <w:pPr>
      <w:ind w:right="-874" w:rightChars="-416"/>
      <w:rPr>
        <w:rFonts w:ascii="Arial Black" w:hAnsi="Arial Black" w:cs="Arial"/>
        <w:b/>
        <w:color w:val="339933"/>
        <w:sz w:val="24"/>
      </w:rPr>
    </w:pPr>
    <w:r>
      <w:rPr>
        <w:rFonts w:hint="eastAsia"/>
        <w:lang/>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968375</wp:posOffset>
              </wp:positionV>
              <wp:extent cx="6381750" cy="0"/>
              <wp:effectExtent l="0" t="19050" r="0" b="19050"/>
              <wp:wrapNone/>
              <wp:docPr id="6" name="直线 3"/>
              <wp:cNvGraphicFramePr/>
              <a:graphic xmlns:a="http://schemas.openxmlformats.org/drawingml/2006/main">
                <a:graphicData uri="http://schemas.microsoft.com/office/word/2010/wordprocessingShape">
                  <wps:wsp>
                    <wps:cNvSpPr/>
                    <wps:spPr>
                      <a:xfrm>
                        <a:off x="0" y="0"/>
                        <a:ext cx="6381750" cy="0"/>
                      </a:xfrm>
                      <a:prstGeom prst="line">
                        <a:avLst/>
                      </a:prstGeom>
                      <a:ln w="38100" cap="flat" cmpd="sng">
                        <a:solidFill>
                          <a:srgbClr val="008000"/>
                        </a:solidFill>
                        <a:prstDash val="solid"/>
                        <a:headEnd type="none" w="med" len="med"/>
                        <a:tailEnd type="none" w="med" len="med"/>
                      </a:ln>
                    </wps:spPr>
                    <wps:bodyPr upright="1"/>
                  </wps:wsp>
                </a:graphicData>
              </a:graphic>
            </wp:anchor>
          </w:drawing>
        </mc:Choice>
        <mc:Fallback>
          <w:pict>
            <v:line id="直线 3" o:spid="_x0000_s1026" o:spt="20" style="position:absolute;left:0pt;margin-left:-27pt;margin-top:76.25pt;height:0pt;width:502.5pt;z-index:251661312;mso-width-relative:page;mso-height-relative:page;" filled="f" stroked="t" coordsize="21600,21600" o:gfxdata="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ap1x6&#10;2QAAAAsBAAAPAAAAAAAAAAEAIAAAACIAAABkcnMvZG93bnJldi54bWxQSwECFAAUAAAACACHTuJA&#10;xh9lr+cBAADcAwAADgAAAAAAAAABACAAAAAoAQAAZHJzL2Uyb0RvYy54bWxQSwUGAAAAAAYABgBZ&#10;AQAAgQUAAAAA&#10;">
              <v:fill on="f" focussize="0,0"/>
              <v:stroke weight="3pt" color="#008000" joinstyle="round"/>
              <v:imagedata o:title=""/>
              <o:lock v:ext="edit" aspectratio="f"/>
            </v:line>
          </w:pict>
        </mc:Fallback>
      </mc:AlternateContent>
    </w:r>
  </w:p>
  <w:p w14:paraId="6F5FFEA4">
    <w:pPr>
      <w:ind w:right="-874" w:rightChars="-416" w:firstLine="1325" w:firstLineChars="550"/>
      <w:rPr>
        <w:rFonts w:ascii="Arial Black" w:hAnsi="Arial Black" w:cs="Arial"/>
        <w:b/>
        <w:color w:val="339933"/>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BAFCB"/>
    <w:multiLevelType w:val="singleLevel"/>
    <w:tmpl w:val="A47BAFCB"/>
    <w:lvl w:ilvl="0" w:tentative="0">
      <w:start w:val="5"/>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3333F"/>
    <w:rsid w:val="00073F7B"/>
    <w:rsid w:val="00084581"/>
    <w:rsid w:val="000974A1"/>
    <w:rsid w:val="000C2015"/>
    <w:rsid w:val="000E3F60"/>
    <w:rsid w:val="001012CC"/>
    <w:rsid w:val="00123E34"/>
    <w:rsid w:val="00142339"/>
    <w:rsid w:val="00153537"/>
    <w:rsid w:val="00171C5C"/>
    <w:rsid w:val="00172115"/>
    <w:rsid w:val="00192F20"/>
    <w:rsid w:val="001A290F"/>
    <w:rsid w:val="001C3EE9"/>
    <w:rsid w:val="001C672D"/>
    <w:rsid w:val="001F2999"/>
    <w:rsid w:val="00241BBF"/>
    <w:rsid w:val="002430A1"/>
    <w:rsid w:val="0026180F"/>
    <w:rsid w:val="002F0E05"/>
    <w:rsid w:val="00300927"/>
    <w:rsid w:val="00343CA4"/>
    <w:rsid w:val="00375B4D"/>
    <w:rsid w:val="00397636"/>
    <w:rsid w:val="003A3289"/>
    <w:rsid w:val="003B7C81"/>
    <w:rsid w:val="003C3492"/>
    <w:rsid w:val="003C59E3"/>
    <w:rsid w:val="004611D3"/>
    <w:rsid w:val="00490D95"/>
    <w:rsid w:val="00505800"/>
    <w:rsid w:val="00550515"/>
    <w:rsid w:val="00571BE2"/>
    <w:rsid w:val="005A53E1"/>
    <w:rsid w:val="005D45E1"/>
    <w:rsid w:val="005D6552"/>
    <w:rsid w:val="006175A5"/>
    <w:rsid w:val="00646D5A"/>
    <w:rsid w:val="00660E8C"/>
    <w:rsid w:val="00694FCF"/>
    <w:rsid w:val="006A2D51"/>
    <w:rsid w:val="006D348F"/>
    <w:rsid w:val="00752559"/>
    <w:rsid w:val="00755F50"/>
    <w:rsid w:val="00781EDF"/>
    <w:rsid w:val="00792DE5"/>
    <w:rsid w:val="00843503"/>
    <w:rsid w:val="00890678"/>
    <w:rsid w:val="008C34CA"/>
    <w:rsid w:val="008D71D5"/>
    <w:rsid w:val="008E7F2D"/>
    <w:rsid w:val="009A6361"/>
    <w:rsid w:val="009C58F5"/>
    <w:rsid w:val="009D4D80"/>
    <w:rsid w:val="009E6C12"/>
    <w:rsid w:val="00A105F9"/>
    <w:rsid w:val="00A11221"/>
    <w:rsid w:val="00A11968"/>
    <w:rsid w:val="00A6462C"/>
    <w:rsid w:val="00A96445"/>
    <w:rsid w:val="00AD27D9"/>
    <w:rsid w:val="00AE3BD8"/>
    <w:rsid w:val="00B03E15"/>
    <w:rsid w:val="00B1148F"/>
    <w:rsid w:val="00B33577"/>
    <w:rsid w:val="00B5415B"/>
    <w:rsid w:val="00B77CF4"/>
    <w:rsid w:val="00BD2F41"/>
    <w:rsid w:val="00BF6908"/>
    <w:rsid w:val="00C243CF"/>
    <w:rsid w:val="00C41497"/>
    <w:rsid w:val="00C433D4"/>
    <w:rsid w:val="00CA6616"/>
    <w:rsid w:val="00CC5FCB"/>
    <w:rsid w:val="00D14A75"/>
    <w:rsid w:val="00D819A2"/>
    <w:rsid w:val="00D84566"/>
    <w:rsid w:val="00D85121"/>
    <w:rsid w:val="00DB0C73"/>
    <w:rsid w:val="00DB59F2"/>
    <w:rsid w:val="00DE5D8B"/>
    <w:rsid w:val="00DF7B7B"/>
    <w:rsid w:val="00E5415A"/>
    <w:rsid w:val="00ED04D1"/>
    <w:rsid w:val="00ED0FD4"/>
    <w:rsid w:val="00EE345F"/>
    <w:rsid w:val="00F84DF8"/>
    <w:rsid w:val="00FA147F"/>
    <w:rsid w:val="00FC361E"/>
    <w:rsid w:val="00FD4EBC"/>
    <w:rsid w:val="00FE71C7"/>
    <w:rsid w:val="375927C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7">
    <w:name w:val="Default Paragraph Font"/>
    <w:uiPriority w:val="0"/>
  </w:style>
  <w:style w:type="table" w:default="1" w:styleId="6">
    <w:name w:val="Normal Table"/>
    <w:unhideWhenUsed/>
    <w:uiPriority w:val="99"/>
    <w:tblPr>
      <w:tblStyle w:val="6"/>
      <w:tblCellMar>
        <w:top w:w="0" w:type="dxa"/>
        <w:left w:w="108" w:type="dxa"/>
        <w:bottom w:w="0" w:type="dxa"/>
        <w:right w:w="108" w:type="dxa"/>
      </w:tblCellMar>
    </w:tblPr>
  </w:style>
  <w:style w:type="paragraph" w:styleId="2">
    <w:name w:val="Body Text Indent"/>
    <w:basedOn w:val="1"/>
    <w:uiPriority w:val="0"/>
    <w:pPr>
      <w:widowControl/>
      <w:ind w:left="720"/>
      <w:jc w:val="left"/>
    </w:pPr>
    <w:rPr>
      <w:rFonts w:ascii="Times" w:hAnsi="Times"/>
      <w:kern w:val="0"/>
      <w:sz w:val="28"/>
      <w:szCs w:val="20"/>
      <w:lang w:eastAsia="en-US"/>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0"/>
    <w:pPr>
      <w:widowControl/>
      <w:spacing w:before="100" w:beforeLines="0" w:beforeAutospacing="1" w:after="100" w:afterLines="0" w:afterAutospacing="1"/>
      <w:jc w:val="left"/>
    </w:pPr>
    <w:rPr>
      <w:rFonts w:ascii="宋体" w:hAnsi="宋体" w:cs="宋体"/>
      <w:kern w:val="0"/>
      <w:sz w:val="20"/>
      <w:szCs w:val="20"/>
    </w:rPr>
  </w:style>
  <w:style w:type="character" w:styleId="8">
    <w:name w:val="page number"/>
    <w:uiPriority w:val="0"/>
    <w:rPr>
      <w:rFonts w:cs="Times New Roman"/>
    </w:rPr>
  </w:style>
  <w:style w:type="character" w:styleId="9">
    <w:name w:val="Hyperlink"/>
    <w:uiPriority w:val="0"/>
    <w:rPr>
      <w:color w:val="0000FF"/>
      <w:u w:val="single"/>
    </w:rPr>
  </w:style>
  <w:style w:type="paragraph" w:customStyle="1" w:styleId="10">
    <w:name w:val="Default"/>
    <w:uiPriority w:val="0"/>
    <w:pPr>
      <w:widowControl w:val="0"/>
      <w:autoSpaceDE w:val="0"/>
      <w:autoSpaceDN w:val="0"/>
      <w:adjustRightInd w:val="0"/>
    </w:pPr>
    <w:rPr>
      <w:rFonts w:ascii="Arial" w:hAnsi="Arial" w:cs="Arial"/>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NEWEAST</Company>
  <Pages>2</Pages>
  <Words>240</Words>
  <Characters>1473</Characters>
  <Lines>14</Lines>
  <Paragraphs>4</Paragraphs>
  <TotalTime>0</TotalTime>
  <ScaleCrop>false</ScaleCrop>
  <LinksUpToDate>false</LinksUpToDate>
  <CharactersWithSpaces>1679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2014-01-17T06:36:00Z</dcterms:created>
  <dc:creator>Limin Wang</dc:creator>
  <cp:lastModifiedBy>周亿福</cp:lastModifiedBy>
  <cp:lastPrinted>2008-12-30T17:05:00Z</cp:lastPrinted>
  <dcterms:modified xsi:type="dcterms:W3CDTF">2025-08-15T23:59:24Z</dcterms:modified>
  <dc:title>Akt1</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eyJoZGlkIjoiZjc1NzRjMTZhODVjOTM0MjFhODkzYzEwNjNiNjY4OTEiLCJ1c2VySWQiOiI2NjU1NzU2NjgifQ==</vt:lpwstr>
  </property>
  <property fmtid="{D5CDD505-2E9C-101B-9397-08002B2CF9AE}" pid="4" name="ICV">
    <vt:lpwstr>DA1BF01D1D1142DA90511ED9CE6A69CC_13</vt:lpwstr>
  </property>
</Properties>
</file>